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Höör kommunfullmäktige</w:t>
      </w:r>
    </w:p>
    <w:p>
      <w:pPr>
        <w:pStyle w:val="Heading1"/>
      </w:pPr>
      <w:r>
        <w:t xml:space="preserve">Öka lärartätheten i Höörs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Höör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Höörs meritvärde årskurs 9 ligger på 225 enligt Kolada 2024, under rikssnittet. Lärartätheten är 11,2 elever per lärare. Fler behöriga lärare krävs för att höja kunskapsresultaten och skapa ordning i klassrummet.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Höör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anslaget till grundskolan med 4,5 mnkr 2027 för att anställa fem legitimerade lärare.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treårig plan för att nå 10 elever per lärare i årskurs 1–9.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kompetensutveckling i läs- och skrivundervisning för befintlig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effekter på meritvärde i budgetuppföljningen 2028.</w:t>
      </w:r>
    </w:p>
    <w:p>
      <w:pPr>
        <w:spacing w:before="360"/>
      </w:pPr>
    </w:p>
    <w:p>
      <w:r>
        <w:t xml:space="preserve">Höör,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Höör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2026-07-14T03:41:01.631Z</dcterms:created>
  <dcterms:modified xsi:type="dcterms:W3CDTF">2026-07-14T03:41:01.631Z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